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371" w:rsidRDefault="00F61C12" w:rsidP="00F61C12">
      <w:pPr>
        <w:jc w:val="center"/>
        <w:rPr>
          <w:rFonts w:ascii="Times New Roman" w:hAnsi="Times New Roman" w:cs="Times New Roman"/>
          <w:lang w:val="uk-UA"/>
        </w:rPr>
      </w:pPr>
      <w:r w:rsidRPr="006E3154">
        <w:rPr>
          <w:rFonts w:ascii="Times New Roman" w:hAnsi="Times New Roman" w:cs="Times New Roman"/>
          <w:lang w:val="uk-UA"/>
        </w:rPr>
        <w:t>ОБГРУНТУВАННЯ ТЕХНІЧНИХ ТА ЯКІСНИХ ХАРАКТЕРИСТИК ПРЕДМЕТА ХАКУПІВЛІ, РОЗМІРУ БЮДЖЕТНОГО ПРИЗНАЧЕННЯ, ОЧІКУВАНОЇ ВАРТОСИІ ПРЕДМЕТА ЗАКУПІВЛІ</w:t>
      </w:r>
    </w:p>
    <w:tbl>
      <w:tblPr>
        <w:tblStyle w:val="a3"/>
        <w:tblW w:w="9996" w:type="dxa"/>
        <w:tblLook w:val="04A0"/>
      </w:tblPr>
      <w:tblGrid>
        <w:gridCol w:w="3652"/>
        <w:gridCol w:w="6344"/>
      </w:tblGrid>
      <w:tr w:rsidR="00F61C12" w:rsidRPr="00864F13" w:rsidTr="00F61C12">
        <w:tc>
          <w:tcPr>
            <w:tcW w:w="9996" w:type="dxa"/>
            <w:gridSpan w:val="2"/>
          </w:tcPr>
          <w:p w:rsidR="001B03D5" w:rsidRPr="001B03D5" w:rsidRDefault="001B03D5" w:rsidP="001B03D5">
            <w:pPr>
              <w:jc w:val="center"/>
              <w:rPr>
                <w:rFonts w:ascii="Times New Roman" w:hAnsi="Times New Roman" w:cs="Times New Roman"/>
                <w:b/>
                <w:u w:val="single"/>
                <w:lang w:val="uk-UA"/>
              </w:rPr>
            </w:pPr>
            <w:r w:rsidRPr="001B03D5">
              <w:rPr>
                <w:rFonts w:ascii="Times New Roman" w:hAnsi="Times New Roman" w:cs="Times New Roman"/>
                <w:b/>
                <w:u w:val="single"/>
                <w:lang w:val="uk-UA"/>
              </w:rPr>
              <w:t>ПЕРЕГОВОРНА ПРОЦЕДУРА</w:t>
            </w:r>
          </w:p>
          <w:p w:rsidR="00F61C12" w:rsidRPr="00441BF3" w:rsidRDefault="00F61C12" w:rsidP="001B03D5">
            <w:pPr>
              <w:jc w:val="center"/>
              <w:rPr>
                <w:rFonts w:ascii="Times New Roman" w:hAnsi="Times New Roman" w:cs="Times New Roman"/>
                <w:b/>
                <w:lang w:val="uk-UA"/>
              </w:rPr>
            </w:pPr>
            <w:r w:rsidRPr="006E3154">
              <w:rPr>
                <w:rFonts w:ascii="Times New Roman" w:hAnsi="Times New Roman" w:cs="Times New Roman"/>
                <w:b/>
                <w:lang w:val="uk-UA"/>
              </w:rPr>
              <w:t>Закупівля</w:t>
            </w:r>
            <w:r w:rsidRPr="00441BF3">
              <w:rPr>
                <w:rFonts w:ascii="Times New Roman" w:hAnsi="Times New Roman" w:cs="Times New Roman"/>
                <w:b/>
                <w:lang w:val="uk-UA"/>
              </w:rPr>
              <w:t>:</w:t>
            </w:r>
            <w:r w:rsidR="00864F13" w:rsidRPr="00864F13">
              <w:rPr>
                <w:rFonts w:ascii="Times New Roman" w:hAnsi="Times New Roman" w:cs="Times New Roman"/>
              </w:rPr>
              <w:t>UA</w:t>
            </w:r>
            <w:r w:rsidR="00864F13" w:rsidRPr="00864F13">
              <w:rPr>
                <w:rFonts w:ascii="Times New Roman" w:hAnsi="Times New Roman" w:cs="Times New Roman"/>
                <w:lang w:val="uk-UA"/>
              </w:rPr>
              <w:t>-2021-10-07-006276-</w:t>
            </w:r>
            <w:proofErr w:type="spellStart"/>
            <w:r w:rsidR="00864F13" w:rsidRPr="00864F13">
              <w:rPr>
                <w:rFonts w:ascii="Times New Roman" w:hAnsi="Times New Roman" w:cs="Times New Roman"/>
              </w:rPr>
              <w:t>b</w:t>
            </w:r>
            <w:proofErr w:type="spellEnd"/>
          </w:p>
          <w:p w:rsidR="00F61C12" w:rsidRPr="006E3154" w:rsidRDefault="00F61C12" w:rsidP="00864F13">
            <w:pPr>
              <w:jc w:val="center"/>
              <w:rPr>
                <w:rFonts w:ascii="Times New Roman" w:hAnsi="Times New Roman" w:cs="Times New Roman"/>
                <w:b/>
                <w:lang w:val="uk-UA"/>
              </w:rPr>
            </w:pPr>
            <w:r w:rsidRPr="006E3154">
              <w:rPr>
                <w:rFonts w:ascii="Times New Roman" w:hAnsi="Times New Roman" w:cs="Times New Roman"/>
                <w:b/>
                <w:lang w:val="uk-UA"/>
              </w:rPr>
              <w:t>Опубліковано:</w:t>
            </w:r>
            <w:r w:rsidR="00864F13">
              <w:rPr>
                <w:rFonts w:ascii="Times New Roman" w:hAnsi="Times New Roman" w:cs="Times New Roman"/>
                <w:lang w:val="uk-UA"/>
              </w:rPr>
              <w:t>07.10</w:t>
            </w:r>
            <w:r w:rsidR="00B3503C" w:rsidRPr="00B3503C">
              <w:rPr>
                <w:rFonts w:ascii="Times New Roman" w:hAnsi="Times New Roman" w:cs="Times New Roman"/>
                <w:lang w:val="uk-UA"/>
              </w:rPr>
              <w:t>.2021 р.</w:t>
            </w:r>
          </w:p>
        </w:tc>
      </w:tr>
      <w:tr w:rsidR="00F61C12" w:rsidRPr="00864F13" w:rsidTr="00F61C12">
        <w:tc>
          <w:tcPr>
            <w:tcW w:w="3652" w:type="dxa"/>
          </w:tcPr>
          <w:p w:rsidR="00F61C12" w:rsidRPr="006E3154" w:rsidRDefault="00F61C12" w:rsidP="006E3154">
            <w:pPr>
              <w:rPr>
                <w:rFonts w:ascii="Times New Roman" w:hAnsi="Times New Roman" w:cs="Times New Roman"/>
                <w:b/>
                <w:lang w:val="uk-UA"/>
              </w:rPr>
            </w:pPr>
            <w:r w:rsidRPr="006E3154">
              <w:rPr>
                <w:rFonts w:ascii="Times New Roman" w:hAnsi="Times New Roman" w:cs="Times New Roman"/>
                <w:b/>
                <w:lang w:val="uk-UA"/>
              </w:rPr>
              <w:t>Назва предмета закупівлі:</w:t>
            </w:r>
          </w:p>
        </w:tc>
        <w:tc>
          <w:tcPr>
            <w:tcW w:w="6344" w:type="dxa"/>
          </w:tcPr>
          <w:p w:rsidR="00864F13" w:rsidRDefault="00864F13" w:rsidP="00F61C12">
            <w:pPr>
              <w:jc w:val="center"/>
              <w:rPr>
                <w:rFonts w:ascii="Times New Roman" w:hAnsi="Times New Roman" w:cs="Times New Roman"/>
                <w:lang w:val="uk-UA"/>
              </w:rPr>
            </w:pPr>
            <w:r w:rsidRPr="00864F13">
              <w:rPr>
                <w:rFonts w:ascii="Times New Roman" w:hAnsi="Times New Roman" w:cs="Times New Roman"/>
                <w:lang w:val="uk-UA"/>
              </w:rPr>
              <w:t xml:space="preserve">Електрична енергія для гуртожитків ВНТУ </w:t>
            </w:r>
          </w:p>
          <w:p w:rsidR="00B3503C" w:rsidRPr="006E3154" w:rsidRDefault="00B3503C" w:rsidP="00864F13">
            <w:pPr>
              <w:jc w:val="center"/>
              <w:rPr>
                <w:rFonts w:ascii="Times New Roman" w:hAnsi="Times New Roman" w:cs="Times New Roman"/>
                <w:lang w:val="uk-UA"/>
              </w:rPr>
            </w:pPr>
            <w:r>
              <w:rPr>
                <w:rFonts w:ascii="Times New Roman" w:hAnsi="Times New Roman" w:cs="Times New Roman"/>
                <w:lang w:val="uk-UA"/>
              </w:rPr>
              <w:t>(</w:t>
            </w:r>
            <w:proofErr w:type="spellStart"/>
            <w:r>
              <w:rPr>
                <w:rFonts w:ascii="Times New Roman" w:hAnsi="Times New Roman" w:cs="Times New Roman"/>
                <w:lang w:val="uk-UA"/>
              </w:rPr>
              <w:t>ДК</w:t>
            </w:r>
            <w:proofErr w:type="spellEnd"/>
            <w:r>
              <w:rPr>
                <w:rFonts w:ascii="Times New Roman" w:hAnsi="Times New Roman" w:cs="Times New Roman"/>
                <w:lang w:val="uk-UA"/>
              </w:rPr>
              <w:t xml:space="preserve"> 021:2015:</w:t>
            </w:r>
            <w:r w:rsidR="00864F13" w:rsidRPr="00864F13">
              <w:rPr>
                <w:lang w:val="uk-UA"/>
              </w:rPr>
              <w:t xml:space="preserve"> </w:t>
            </w:r>
            <w:r w:rsidR="00864F13" w:rsidRPr="00864F13">
              <w:rPr>
                <w:rFonts w:ascii="Times New Roman" w:hAnsi="Times New Roman" w:cs="Times New Roman"/>
                <w:lang w:val="uk-UA"/>
              </w:rPr>
              <w:t>09310000-5 Електрична енергія</w:t>
            </w:r>
            <w:r>
              <w:rPr>
                <w:rFonts w:ascii="Times New Roman" w:hAnsi="Times New Roman" w:cs="Times New Roman"/>
                <w:lang w:val="uk-UA"/>
              </w:rPr>
              <w:t>)</w:t>
            </w:r>
          </w:p>
        </w:tc>
      </w:tr>
      <w:tr w:rsidR="00F61C12" w:rsidRPr="00D81550" w:rsidTr="00F61C12">
        <w:tc>
          <w:tcPr>
            <w:tcW w:w="3652" w:type="dxa"/>
          </w:tcPr>
          <w:p w:rsidR="00F61C12" w:rsidRPr="006E3154" w:rsidRDefault="004F58C6" w:rsidP="006E3154">
            <w:pPr>
              <w:rPr>
                <w:rFonts w:ascii="Times New Roman" w:hAnsi="Times New Roman" w:cs="Times New Roman"/>
                <w:b/>
                <w:lang w:val="uk-UA"/>
              </w:rPr>
            </w:pPr>
            <w:proofErr w:type="spellStart"/>
            <w:r w:rsidRPr="006E3154">
              <w:rPr>
                <w:rFonts w:ascii="Times New Roman" w:hAnsi="Times New Roman" w:cs="Times New Roman"/>
                <w:b/>
                <w:lang w:val="uk-UA"/>
              </w:rPr>
              <w:t>Обгрунтування</w:t>
            </w:r>
            <w:proofErr w:type="spellEnd"/>
            <w:r w:rsidRPr="006E3154">
              <w:rPr>
                <w:rFonts w:ascii="Times New Roman" w:hAnsi="Times New Roman" w:cs="Times New Roman"/>
                <w:b/>
                <w:lang w:val="uk-UA"/>
              </w:rPr>
              <w:t xml:space="preserve"> технічних та які</w:t>
            </w:r>
            <w:r w:rsidRPr="00210557">
              <w:rPr>
                <w:rFonts w:ascii="Times New Roman" w:hAnsi="Times New Roman" w:cs="Times New Roman"/>
                <w:b/>
                <w:lang w:val="uk-UA"/>
              </w:rPr>
              <w:t>сних</w:t>
            </w:r>
            <w:r>
              <w:rPr>
                <w:rFonts w:ascii="Times New Roman" w:hAnsi="Times New Roman" w:cs="Times New Roman"/>
                <w:b/>
                <w:lang w:val="uk-UA"/>
              </w:rPr>
              <w:t xml:space="preserve"> характеритик</w:t>
            </w:r>
          </w:p>
        </w:tc>
        <w:tc>
          <w:tcPr>
            <w:tcW w:w="6344" w:type="dxa"/>
          </w:tcPr>
          <w:p w:rsidR="00F61C12" w:rsidRPr="00B3503C" w:rsidRDefault="00D81550" w:rsidP="00B3503C">
            <w:pPr>
              <w:jc w:val="both"/>
              <w:rPr>
                <w:rFonts w:ascii="Times New Roman" w:hAnsi="Times New Roman" w:cs="Times New Roman"/>
                <w:lang w:val="uk-UA"/>
              </w:rPr>
            </w:pPr>
            <w:r w:rsidRPr="005878FB">
              <w:rPr>
                <w:rFonts w:ascii="Times New Roman" w:hAnsi="Times New Roman" w:cs="Times New Roman"/>
                <w:lang w:val="uk-UA"/>
              </w:rPr>
              <w:t>Відповідно до положень пункту 11.4.6 глави 11.4 розділу XI Кодексу систем розподілу, затвердженого постановою НКРЕКП від 14.03.2018 № 310,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 Постачальник електричної енергії зобов’язується якісно надавати послуги у відповідності до вимог постанови НКРЕКП від 12.06.2018 № 375 «Про затвердження Порядку забезпечення стандартів якості електропостачання та надання ком</w:t>
            </w:r>
          </w:p>
        </w:tc>
      </w:tr>
      <w:tr w:rsidR="00F61C12" w:rsidRPr="006E3154" w:rsidTr="00F61C12">
        <w:tc>
          <w:tcPr>
            <w:tcW w:w="3652" w:type="dxa"/>
          </w:tcPr>
          <w:p w:rsidR="00F61C12" w:rsidRPr="006E3154" w:rsidRDefault="006E3154" w:rsidP="006E3154">
            <w:pPr>
              <w:rPr>
                <w:rFonts w:ascii="Times New Roman" w:hAnsi="Times New Roman" w:cs="Times New Roman"/>
                <w:b/>
                <w:lang w:val="uk-UA"/>
              </w:rPr>
            </w:pPr>
            <w:proofErr w:type="spellStart"/>
            <w:r w:rsidRPr="006E3154">
              <w:rPr>
                <w:rFonts w:ascii="Times New Roman" w:hAnsi="Times New Roman" w:cs="Times New Roman"/>
                <w:b/>
                <w:lang w:val="uk-UA"/>
              </w:rPr>
              <w:t>Обгрунтування</w:t>
            </w:r>
            <w:proofErr w:type="spellEnd"/>
            <w:r w:rsidRPr="006E3154">
              <w:rPr>
                <w:rFonts w:ascii="Times New Roman" w:hAnsi="Times New Roman" w:cs="Times New Roman"/>
                <w:b/>
                <w:lang w:val="uk-UA"/>
              </w:rPr>
              <w:t xml:space="preserve"> очікуваної вартості предмету закупівлі, розміру бюджетного призначення</w:t>
            </w:r>
          </w:p>
        </w:tc>
        <w:tc>
          <w:tcPr>
            <w:tcW w:w="6344" w:type="dxa"/>
          </w:tcPr>
          <w:p w:rsidR="001E3DBC" w:rsidRPr="00B3503C" w:rsidRDefault="00D81550" w:rsidP="00D81550">
            <w:pPr>
              <w:jc w:val="both"/>
              <w:rPr>
                <w:rFonts w:ascii="Times New Roman" w:hAnsi="Times New Roman" w:cs="Times New Roman"/>
                <w:lang w:val="uk-UA"/>
              </w:rPr>
            </w:pPr>
            <w:r w:rsidRPr="005878FB">
              <w:rPr>
                <w:rFonts w:ascii="Times New Roman" w:hAnsi="Times New Roman" w:cs="Times New Roman"/>
                <w:lang w:val="uk-UA"/>
              </w:rPr>
              <w:t xml:space="preserve">Розрахунок здійснено на підставі тарифів на електроенергію, затверджених Постановою </w:t>
            </w:r>
            <w:r>
              <w:rPr>
                <w:rFonts w:ascii="Times New Roman" w:hAnsi="Times New Roman" w:cs="Times New Roman"/>
                <w:lang w:val="uk-UA"/>
              </w:rPr>
              <w:t>КМУ № 859</w:t>
            </w:r>
            <w:r w:rsidRPr="005878FB">
              <w:rPr>
                <w:rFonts w:ascii="Times New Roman" w:hAnsi="Times New Roman" w:cs="Times New Roman"/>
                <w:lang w:val="uk-UA"/>
              </w:rPr>
              <w:t xml:space="preserve"> від </w:t>
            </w:r>
            <w:r>
              <w:rPr>
                <w:rFonts w:ascii="Times New Roman" w:hAnsi="Times New Roman" w:cs="Times New Roman"/>
                <w:lang w:val="uk-UA"/>
              </w:rPr>
              <w:t>11.08.2021 р.</w:t>
            </w:r>
          </w:p>
        </w:tc>
      </w:tr>
      <w:tr w:rsidR="00C17A04" w:rsidRPr="00864F13" w:rsidTr="00F61C12">
        <w:tc>
          <w:tcPr>
            <w:tcW w:w="3652" w:type="dxa"/>
          </w:tcPr>
          <w:p w:rsidR="00C17A04" w:rsidRPr="00C17A04" w:rsidRDefault="00C17A04" w:rsidP="006E3154">
            <w:pPr>
              <w:rPr>
                <w:rFonts w:ascii="Times New Roman" w:hAnsi="Times New Roman" w:cs="Times New Roman"/>
                <w:b/>
              </w:rPr>
            </w:pPr>
            <w:r w:rsidRPr="005878FB">
              <w:rPr>
                <w:rFonts w:ascii="Times New Roman" w:hAnsi="Times New Roman" w:cs="Times New Roman"/>
                <w:b/>
                <w:lang w:val="uk-UA"/>
              </w:rPr>
              <w:t>Обґрунтування застосування переговорної процедури</w:t>
            </w:r>
          </w:p>
        </w:tc>
        <w:tc>
          <w:tcPr>
            <w:tcW w:w="6344" w:type="dxa"/>
          </w:tcPr>
          <w:p w:rsidR="00C17A04" w:rsidRPr="00B3503C" w:rsidRDefault="00D81550" w:rsidP="00B3503C">
            <w:pPr>
              <w:jc w:val="both"/>
              <w:rPr>
                <w:rFonts w:ascii="Times New Roman" w:hAnsi="Times New Roman" w:cs="Times New Roman"/>
                <w:lang w:val="uk-UA"/>
              </w:rPr>
            </w:pPr>
            <w:r>
              <w:rPr>
                <w:rFonts w:ascii="Times New Roman" w:hAnsi="Times New Roman" w:cs="Times New Roman"/>
                <w:lang w:val="uk-UA"/>
              </w:rPr>
              <w:t>З</w:t>
            </w:r>
            <w:r w:rsidRPr="00D81550">
              <w:rPr>
                <w:rFonts w:ascii="Times New Roman" w:hAnsi="Times New Roman" w:cs="Times New Roman"/>
                <w:lang w:val="uk-UA"/>
              </w:rPr>
              <w:t xml:space="preserve">гідно з основними нормами статті 63 Закону України «Про ринок електричної енергії» № 2019-VIII від 13.04.2017 (далі — Закон № 2019) у межах території здійснення діяльності одного постачальника універсальних послуг не допускається здійснення діяльності іншими постачальниками універсальних послуг. Постачальник надає універсальні послуги за економічно обґрунтованими, прозорими та недискримінаційними цінами, що формуються ним відповідно до методики (порядку) розрахунку ціни електричної енергії, затвердженої Регулятором (Національною комісією, що здійснює державне регулювання у сферах енергетики та комунальних послуг, далі — НКРЕКП). Постачальник універсальної послуги здійснює постачання електричної енергії у порядку, визначеному Правилами роздрібного ринку електричної енергії (затверджені постановою НКРЕКП від 14.03.2018 № 312), та на умовах типового договору постачання універсальних послуг, що затверджений Регулятором. Згідно з постановою НКРЕКП від 26.10.2018 № 1268 «Про затвердження Методичних рекомендацій щодо передачі даних побутових та малих </w:t>
            </w:r>
            <w:proofErr w:type="spellStart"/>
            <w:r w:rsidRPr="00D81550">
              <w:rPr>
                <w:rFonts w:ascii="Times New Roman" w:hAnsi="Times New Roman" w:cs="Times New Roman"/>
                <w:lang w:val="uk-UA"/>
              </w:rPr>
              <w:t>непобутових</w:t>
            </w:r>
            <w:proofErr w:type="spellEnd"/>
            <w:r w:rsidRPr="00D81550">
              <w:rPr>
                <w:rFonts w:ascii="Times New Roman" w:hAnsi="Times New Roman" w:cs="Times New Roman"/>
                <w:lang w:val="uk-UA"/>
              </w:rPr>
              <w:t xml:space="preserve"> споживачів постачальнику електричної енергії, на якого відповідно до Закону України </w:t>
            </w:r>
            <w:proofErr w:type="spellStart"/>
            <w:r w:rsidRPr="00D81550">
              <w:rPr>
                <w:rFonts w:ascii="Times New Roman" w:hAnsi="Times New Roman" w:cs="Times New Roman"/>
                <w:lang w:val="uk-UA"/>
              </w:rPr>
              <w:t>‟Про</w:t>
            </w:r>
            <w:proofErr w:type="spellEnd"/>
            <w:r w:rsidRPr="00D81550">
              <w:rPr>
                <w:rFonts w:ascii="Times New Roman" w:hAnsi="Times New Roman" w:cs="Times New Roman"/>
                <w:lang w:val="uk-UA"/>
              </w:rPr>
              <w:t xml:space="preserve"> ринок електричної </w:t>
            </w:r>
            <w:proofErr w:type="spellStart"/>
            <w:r w:rsidRPr="00D81550">
              <w:rPr>
                <w:rFonts w:ascii="Times New Roman" w:hAnsi="Times New Roman" w:cs="Times New Roman"/>
                <w:lang w:val="uk-UA"/>
              </w:rPr>
              <w:t>енергії”</w:t>
            </w:r>
            <w:proofErr w:type="spellEnd"/>
            <w:r w:rsidRPr="00D81550">
              <w:rPr>
                <w:rFonts w:ascii="Times New Roman" w:hAnsi="Times New Roman" w:cs="Times New Roman"/>
                <w:lang w:val="uk-UA"/>
              </w:rPr>
              <w:t xml:space="preserve"> покладається виконання функції універсальної послуги на закріпленій території», ТОВ «ЕНЕРА ВІННИЦЯ» є постачальником універсальної послуги на території Вінницької області Отже, враховуючи законодавчо закріплену статтею 63 Закону № 2019 норму про здійснення діяльності з постачання електричної енергії у межах закріпленої території лише одним постачальником універсальних послуг, а гуртожитки ВНТУ які знаходяться за адресами м. Вінниці: вул. Воїнів Інтернаціоналістів/</w:t>
            </w:r>
            <w:proofErr w:type="spellStart"/>
            <w:r w:rsidRPr="00D81550">
              <w:rPr>
                <w:rFonts w:ascii="Times New Roman" w:hAnsi="Times New Roman" w:cs="Times New Roman"/>
                <w:lang w:val="uk-UA"/>
              </w:rPr>
              <w:t>Келецька</w:t>
            </w:r>
            <w:proofErr w:type="spellEnd"/>
            <w:r w:rsidRPr="00D81550">
              <w:rPr>
                <w:rFonts w:ascii="Times New Roman" w:hAnsi="Times New Roman" w:cs="Times New Roman"/>
                <w:lang w:val="uk-UA"/>
              </w:rPr>
              <w:t xml:space="preserve"> 11/102; вул. Хмельницьке шосе 93-</w:t>
            </w:r>
            <w:r w:rsidRPr="00D81550">
              <w:rPr>
                <w:rFonts w:ascii="Times New Roman" w:hAnsi="Times New Roman" w:cs="Times New Roman"/>
                <w:lang w:val="uk-UA"/>
              </w:rPr>
              <w:lastRenderedPageBreak/>
              <w:t xml:space="preserve">95; вул. Воїнів Інтернаціоналістів 3; вул. воїнів Інтернаціоналістів 5; вул. </w:t>
            </w:r>
            <w:proofErr w:type="spellStart"/>
            <w:r w:rsidRPr="00D81550">
              <w:rPr>
                <w:rFonts w:ascii="Times New Roman" w:hAnsi="Times New Roman" w:cs="Times New Roman"/>
                <w:lang w:val="uk-UA"/>
              </w:rPr>
              <w:t>Келецька</w:t>
            </w:r>
            <w:proofErr w:type="spellEnd"/>
            <w:r w:rsidRPr="00D81550">
              <w:rPr>
                <w:rFonts w:ascii="Times New Roman" w:hAnsi="Times New Roman" w:cs="Times New Roman"/>
                <w:lang w:val="uk-UA"/>
              </w:rPr>
              <w:t xml:space="preserve"> 98; вул. </w:t>
            </w:r>
            <w:proofErr w:type="spellStart"/>
            <w:r w:rsidRPr="00D81550">
              <w:rPr>
                <w:rFonts w:ascii="Times New Roman" w:hAnsi="Times New Roman" w:cs="Times New Roman"/>
                <w:lang w:val="uk-UA"/>
              </w:rPr>
              <w:t>Келецька</w:t>
            </w:r>
            <w:proofErr w:type="spellEnd"/>
            <w:r w:rsidRPr="00D81550">
              <w:rPr>
                <w:rFonts w:ascii="Times New Roman" w:hAnsi="Times New Roman" w:cs="Times New Roman"/>
                <w:lang w:val="uk-UA"/>
              </w:rPr>
              <w:t xml:space="preserve"> 100; вул. </w:t>
            </w:r>
            <w:proofErr w:type="spellStart"/>
            <w:r w:rsidRPr="00D81550">
              <w:rPr>
                <w:rFonts w:ascii="Times New Roman" w:hAnsi="Times New Roman" w:cs="Times New Roman"/>
                <w:lang w:val="uk-UA"/>
              </w:rPr>
              <w:t>Келецька</w:t>
            </w:r>
            <w:proofErr w:type="spellEnd"/>
            <w:r w:rsidRPr="00D81550">
              <w:rPr>
                <w:rFonts w:ascii="Times New Roman" w:hAnsi="Times New Roman" w:cs="Times New Roman"/>
                <w:lang w:val="uk-UA"/>
              </w:rPr>
              <w:t xml:space="preserve"> 102а за своїм місцем знаходження не мають можливості одержувати електричну енергію, як універсальну послугу, від іншого постачальника, крім ТОВ «ЕНЕРА ВІННИЦЯ», що є постачальником універсальних послуг споживачам на території Вінницької області та здійснює свою діяльність на підставі діючої ліцензії, виданої згідно з постановою НКРЕКП від 14.06.2018 № 429. Таким чином, для закупівлі електричної енергії для потреб населення відсутня конкуренція з технічних причин, що відповідно до пункту 2 частини 2 статті 40 Закону якщо роботи, товари чи послуги можуть бути виконані, поставлені чи надані виключно певним суб’єктом господарювання за наявності одного з випадків, а саме відсутність конкуренції з технічних причин Замовником може застосовуватись Переговорна процедура. Враховуючи вищезазначене, для забезпечення безперервного електропостачання до гуртожитків ВНТУ електричної енергії, було вирішено провести переговорну процедуру на постачання електричної енергії (універсальна послуга) з ТОВ «ЕНЕРА ВІННИЦЯ».</w:t>
            </w:r>
          </w:p>
        </w:tc>
      </w:tr>
    </w:tbl>
    <w:p w:rsidR="00F61C12" w:rsidRPr="006E3154" w:rsidRDefault="00F61C12" w:rsidP="00F61C12">
      <w:pPr>
        <w:jc w:val="center"/>
        <w:rPr>
          <w:rFonts w:ascii="Times New Roman" w:hAnsi="Times New Roman" w:cs="Times New Roman"/>
          <w:lang w:val="uk-UA"/>
        </w:rPr>
      </w:pPr>
    </w:p>
    <w:sectPr w:rsidR="00F61C12" w:rsidRPr="006E3154" w:rsidSect="003233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F61C12"/>
    <w:rsid w:val="00065E90"/>
    <w:rsid w:val="001B03D5"/>
    <w:rsid w:val="001E3DBC"/>
    <w:rsid w:val="00323371"/>
    <w:rsid w:val="003A6C6A"/>
    <w:rsid w:val="00441BF3"/>
    <w:rsid w:val="004E05CA"/>
    <w:rsid w:val="004F58C6"/>
    <w:rsid w:val="0058335C"/>
    <w:rsid w:val="005C25A8"/>
    <w:rsid w:val="006E3154"/>
    <w:rsid w:val="00864F13"/>
    <w:rsid w:val="00A420EA"/>
    <w:rsid w:val="00B3503C"/>
    <w:rsid w:val="00C0480C"/>
    <w:rsid w:val="00C17A04"/>
    <w:rsid w:val="00D81550"/>
    <w:rsid w:val="00F56797"/>
    <w:rsid w:val="00F61C12"/>
    <w:rsid w:val="00F73F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3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1C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651</Words>
  <Characters>3713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Sklad</dc:creator>
  <cp:keywords/>
  <dc:description/>
  <cp:lastModifiedBy>Sklad</cp:lastModifiedBy>
  <cp:revision>13</cp:revision>
  <cp:lastPrinted>2021-09-14T08:39:00Z</cp:lastPrinted>
  <dcterms:created xsi:type="dcterms:W3CDTF">2021-09-14T07:27:00Z</dcterms:created>
  <dcterms:modified xsi:type="dcterms:W3CDTF">2021-10-18T12:40:00Z</dcterms:modified>
</cp:coreProperties>
</file>