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 ТА ЯКІСНИХ ХАРАКТЕРИСТИК ПРЕДМЕТА ХАКУПІВЛІ, РОЗМІРУ БЮДЖЕТНОГО ПРИЗНАЧЕННЯ, ОЧІКУВАНОЇ ВАРТОСИІ ПРЕДМЕТА ЗАКУПІВЛІ</w:t>
      </w:r>
    </w:p>
    <w:tbl>
      <w:tblPr>
        <w:tblStyle w:val="a3"/>
        <w:tblW w:w="9996" w:type="dxa"/>
        <w:tblLook w:val="04A0"/>
      </w:tblPr>
      <w:tblGrid>
        <w:gridCol w:w="3652"/>
        <w:gridCol w:w="6344"/>
      </w:tblGrid>
      <w:tr w:rsidR="00F61C12" w:rsidRPr="00864F13" w:rsidTr="00F61C12">
        <w:tc>
          <w:tcPr>
            <w:tcW w:w="9996" w:type="dxa"/>
            <w:gridSpan w:val="2"/>
          </w:tcPr>
          <w:p w:rsidR="001B03D5" w:rsidRPr="001B03D5" w:rsidRDefault="001B03D5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1B03D5">
              <w:rPr>
                <w:rFonts w:ascii="Times New Roman" w:hAnsi="Times New Roman" w:cs="Times New Roman"/>
                <w:b/>
                <w:u w:val="single"/>
                <w:lang w:val="uk-UA"/>
              </w:rPr>
              <w:t>ПЕРЕГОВОРНА ПРОЦЕДУРА</w:t>
            </w:r>
          </w:p>
          <w:p w:rsidR="00F61C12" w:rsidRPr="00441BF3" w:rsidRDefault="00F61C12" w:rsidP="001B03D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E3154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Pr="00441BF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A95A56">
              <w:t xml:space="preserve"> </w:t>
            </w:r>
            <w:r w:rsidR="00A95A56" w:rsidRPr="00A95A56">
              <w:rPr>
                <w:rFonts w:ascii="Times New Roman" w:hAnsi="Times New Roman" w:cs="Times New Roman"/>
                <w:b/>
                <w:lang w:val="uk-UA"/>
              </w:rPr>
              <w:t>UA-2021-12-28-002396-b</w:t>
            </w:r>
          </w:p>
          <w:p w:rsidR="00F61C12" w:rsidRPr="006E3154" w:rsidRDefault="00F61C12" w:rsidP="00A95A5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E3154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A95A56">
              <w:rPr>
                <w:rFonts w:ascii="Times New Roman" w:hAnsi="Times New Roman" w:cs="Times New Roman"/>
                <w:lang w:val="uk-UA"/>
              </w:rPr>
              <w:t>28.12</w:t>
            </w:r>
            <w:r w:rsidR="00B3503C" w:rsidRPr="00B3503C">
              <w:rPr>
                <w:rFonts w:ascii="Times New Roman" w:hAnsi="Times New Roman" w:cs="Times New Roman"/>
                <w:lang w:val="uk-UA"/>
              </w:rPr>
              <w:t>.2021 р.</w:t>
            </w:r>
          </w:p>
        </w:tc>
      </w:tr>
      <w:tr w:rsidR="00F61C12" w:rsidRPr="00864F13" w:rsidTr="00F61C12">
        <w:tc>
          <w:tcPr>
            <w:tcW w:w="3652" w:type="dxa"/>
          </w:tcPr>
          <w:p w:rsidR="00F61C12" w:rsidRPr="006E3154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E3154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344" w:type="dxa"/>
          </w:tcPr>
          <w:p w:rsidR="00A95A56" w:rsidRDefault="00A95A56" w:rsidP="00F61C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5A56">
              <w:rPr>
                <w:rFonts w:ascii="Times New Roman" w:hAnsi="Times New Roman" w:cs="Times New Roman"/>
                <w:lang w:val="uk-UA"/>
              </w:rPr>
              <w:t>Електрична енергія для гуртожитків ВНТУ</w:t>
            </w:r>
          </w:p>
          <w:p w:rsidR="00864F13" w:rsidRDefault="00A95A56" w:rsidP="00F61C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5A56">
              <w:rPr>
                <w:rFonts w:ascii="Times New Roman" w:hAnsi="Times New Roman" w:cs="Times New Roman"/>
                <w:lang w:val="uk-UA"/>
              </w:rPr>
              <w:t xml:space="preserve"> (універсальна послуга)</w:t>
            </w:r>
          </w:p>
          <w:p w:rsidR="00B3503C" w:rsidRPr="006E3154" w:rsidRDefault="00B3503C" w:rsidP="00864F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864F13" w:rsidRPr="00864F13">
              <w:rPr>
                <w:lang w:val="uk-UA"/>
              </w:rPr>
              <w:t xml:space="preserve"> </w:t>
            </w:r>
            <w:r w:rsidR="00864F13" w:rsidRPr="00864F13">
              <w:rPr>
                <w:rFonts w:ascii="Times New Roman" w:hAnsi="Times New Roman" w:cs="Times New Roman"/>
                <w:lang w:val="uk-UA"/>
              </w:rPr>
              <w:t>09310000-5 Електрична енергія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F61C12" w:rsidRPr="00A95A56" w:rsidTr="00F61C12">
        <w:tc>
          <w:tcPr>
            <w:tcW w:w="3652" w:type="dxa"/>
          </w:tcPr>
          <w:p w:rsidR="00F61C12" w:rsidRPr="006E3154" w:rsidRDefault="004F58C6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6E3154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6E3154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</w:t>
            </w:r>
            <w:r w:rsidRPr="00210557">
              <w:rPr>
                <w:rFonts w:ascii="Times New Roman" w:hAnsi="Times New Roman" w:cs="Times New Roman"/>
                <w:b/>
                <w:lang w:val="uk-UA"/>
              </w:rPr>
              <w:t>сних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характеритик</w:t>
            </w:r>
          </w:p>
        </w:tc>
        <w:tc>
          <w:tcPr>
            <w:tcW w:w="6344" w:type="dxa"/>
          </w:tcPr>
          <w:p w:rsidR="00F61C12" w:rsidRPr="00B3503C" w:rsidRDefault="00D81550" w:rsidP="00B3503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878FB">
              <w:rPr>
                <w:rFonts w:ascii="Times New Roman" w:hAnsi="Times New Roman" w:cs="Times New Roman"/>
                <w:lang w:val="uk-UA"/>
              </w:rPr>
              <w:t>Відповідно до положень пункту 11.4.6 глави 11.4 розділу XI Кодексу систем розподілу, затвердженого постановою НКРЕКП від 14.03.2018 № 310,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призначення». Для забезпечення безперервного надання послуг з постачання електричної енергії споживачу постачальник зобов'язується здійснювати своєчасну закупівлю електричної енергії в обсягах, що за належних умов забезпечать задоволення попиту на споживання електричної енергії споживачем. Постачальник електричної енергії зобов’язується якісно надавати послуги у відповідності до вимог постанови НКРЕКП від 12.06.2018 № 375 «Про затвердження Порядку забезпечення стандартів якості електропостачання та надання ком</w:t>
            </w:r>
            <w:r w:rsidR="00D16AB8">
              <w:rPr>
                <w:rFonts w:ascii="Times New Roman" w:hAnsi="Times New Roman" w:cs="Times New Roman"/>
                <w:lang w:val="uk-UA"/>
              </w:rPr>
              <w:t>унальних послуг</w:t>
            </w:r>
          </w:p>
        </w:tc>
      </w:tr>
      <w:tr w:rsidR="00F61C12" w:rsidRPr="006E3154" w:rsidTr="00F61C12">
        <w:tc>
          <w:tcPr>
            <w:tcW w:w="3652" w:type="dxa"/>
          </w:tcPr>
          <w:p w:rsidR="00F61C12" w:rsidRPr="006E3154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6E3154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6E3154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344" w:type="dxa"/>
          </w:tcPr>
          <w:p w:rsidR="001E3DBC" w:rsidRDefault="00D81550" w:rsidP="00D8155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878FB">
              <w:rPr>
                <w:rFonts w:ascii="Times New Roman" w:hAnsi="Times New Roman" w:cs="Times New Roman"/>
                <w:lang w:val="uk-UA"/>
              </w:rPr>
              <w:t xml:space="preserve">Розрахунок здійснено на підставі тарифів на електроенергію, затверджених Постановою </w:t>
            </w:r>
            <w:r>
              <w:rPr>
                <w:rFonts w:ascii="Times New Roman" w:hAnsi="Times New Roman" w:cs="Times New Roman"/>
                <w:lang w:val="uk-UA"/>
              </w:rPr>
              <w:t>КМУ № 859</w:t>
            </w:r>
            <w:r w:rsidRPr="005878FB">
              <w:rPr>
                <w:rFonts w:ascii="Times New Roman" w:hAnsi="Times New Roman" w:cs="Times New Roman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lang w:val="uk-UA"/>
              </w:rPr>
              <w:t>11.08.2021 р.</w:t>
            </w:r>
          </w:p>
          <w:p w:rsidR="00A95A56" w:rsidRPr="00B3503C" w:rsidRDefault="00A95A56" w:rsidP="00D8155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559A">
              <w:rPr>
                <w:rFonts w:ascii="Times New Roman" w:hAnsi="Times New Roman" w:cs="Times New Roman"/>
                <w:lang w:val="uk-UA"/>
              </w:rPr>
              <w:t>Р</w:t>
            </w:r>
            <w:proofErr w:type="spellStart"/>
            <w:r w:rsidRPr="009F559A">
              <w:rPr>
                <w:rFonts w:ascii="Times New Roman" w:hAnsi="Times New Roman" w:cs="Times New Roman"/>
              </w:rPr>
              <w:t>озмір</w:t>
            </w:r>
            <w:proofErr w:type="spellEnd"/>
            <w:r w:rsidRPr="009F559A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9F559A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9F559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559A">
              <w:rPr>
                <w:rFonts w:ascii="Times New Roman" w:hAnsi="Times New Roman" w:cs="Times New Roman"/>
              </w:rPr>
              <w:t>визначений</w:t>
            </w:r>
            <w:proofErr w:type="spellEnd"/>
            <w:r w:rsidRPr="009F55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559A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9F559A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9F559A">
              <w:rPr>
                <w:rFonts w:ascii="Times New Roman" w:hAnsi="Times New Roman" w:cs="Times New Roman"/>
              </w:rPr>
              <w:t>розрахунку</w:t>
            </w:r>
            <w:proofErr w:type="spellEnd"/>
            <w:r w:rsidRPr="009F55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559A">
              <w:rPr>
                <w:rFonts w:ascii="Times New Roman" w:hAnsi="Times New Roman" w:cs="Times New Roman"/>
              </w:rPr>
              <w:t>кошторису</w:t>
            </w:r>
            <w:proofErr w:type="spellEnd"/>
            <w:r w:rsidRPr="009F559A">
              <w:rPr>
                <w:rFonts w:ascii="Times New Roman" w:hAnsi="Times New Roman" w:cs="Times New Roman"/>
              </w:rPr>
              <w:t xml:space="preserve"> на 202</w:t>
            </w:r>
            <w:r w:rsidRPr="009F559A">
              <w:rPr>
                <w:rFonts w:ascii="Times New Roman" w:hAnsi="Times New Roman" w:cs="Times New Roman"/>
                <w:lang w:val="uk-UA"/>
              </w:rPr>
              <w:t>2</w:t>
            </w:r>
            <w:r w:rsidRPr="009F55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559A">
              <w:rPr>
                <w:rFonts w:ascii="Times New Roman" w:hAnsi="Times New Roman" w:cs="Times New Roman"/>
              </w:rPr>
              <w:t>рік</w:t>
            </w:r>
            <w:proofErr w:type="spellEnd"/>
            <w:r w:rsidRPr="009F559A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C17A04" w:rsidRPr="00A95A56" w:rsidTr="00F61C12">
        <w:tc>
          <w:tcPr>
            <w:tcW w:w="3652" w:type="dxa"/>
          </w:tcPr>
          <w:p w:rsidR="00C17A04" w:rsidRPr="00C17A04" w:rsidRDefault="00C17A04" w:rsidP="006E3154">
            <w:pPr>
              <w:rPr>
                <w:rFonts w:ascii="Times New Roman" w:hAnsi="Times New Roman" w:cs="Times New Roman"/>
                <w:b/>
              </w:rPr>
            </w:pPr>
            <w:r w:rsidRPr="005878FB">
              <w:rPr>
                <w:rFonts w:ascii="Times New Roman" w:hAnsi="Times New Roman" w:cs="Times New Roman"/>
                <w:b/>
                <w:lang w:val="uk-UA"/>
              </w:rPr>
              <w:t>Обґрунтування застосування переговорної процедури</w:t>
            </w:r>
          </w:p>
        </w:tc>
        <w:tc>
          <w:tcPr>
            <w:tcW w:w="6344" w:type="dxa"/>
          </w:tcPr>
          <w:p w:rsidR="00C17A04" w:rsidRPr="00B3503C" w:rsidRDefault="00A95A56" w:rsidP="00B3503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Згідно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п. 2 ч. 2 ст. 40 ЗУ «Про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публічні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закупі</w:t>
            </w:r>
            <w:proofErr w:type="gram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вл</w:t>
            </w:r>
            <w:proofErr w:type="gram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»,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переговорна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процедура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закупівлі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застосовується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замовником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як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виняток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разі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: «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якщо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роботи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товари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чи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послуги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можуть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бути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виконані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поставлені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чи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надані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виключно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певним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суб’єктом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господарювання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за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наявності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одного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таких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випадків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відсутність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конкуренції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технічних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причин».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Відповідно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до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положень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ч. 1 ст. 1 Закону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України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“Про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ринок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електричної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енергії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”,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універсальна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послуга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постачання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електричної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енергії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побутовим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малим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не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побутовим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споживачам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що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гарантує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їхні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права бути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забезпеченими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електричною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енергією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визначеної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якості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на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умовах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визначених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відповідно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до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цього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Закону, на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всій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території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України</w:t>
            </w:r>
            <w:proofErr w:type="gram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.Ч</w:t>
            </w:r>
            <w:proofErr w:type="gram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астиною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2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статті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58 Закону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України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«Про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ринок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електричної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енергії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»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передбачено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що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побутові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споживачі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та </w:t>
            </w:r>
            <w:proofErr w:type="spellStart"/>
            <w:proofErr w:type="gram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мал</w:t>
            </w:r>
            <w:proofErr w:type="gram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непобутові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споживачі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мають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право на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отримання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універсальних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послуг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відповідно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до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цього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Закону. </w:t>
            </w:r>
            <w:proofErr w:type="spellStart"/>
            <w:proofErr w:type="gram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Відповідно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до п. 13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розділу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XVII Закону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України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"Про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ринок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електричної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енергії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",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енергія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що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купується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постачальника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універсальних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послуг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споживається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:...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юридичними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особами,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які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є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власниками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балансоутримувачами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) майна, ...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гуртожитків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...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оплачується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за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цінами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за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якими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постачальник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універсальних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послуг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здійснює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постачання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електричної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енергії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побутовим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споживачам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.</w:t>
            </w:r>
            <w:proofErr w:type="gram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Відповідно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до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Житлового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кодексу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України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гуртожитки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входять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до</w:t>
            </w:r>
            <w:proofErr w:type="gram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складу</w:t>
            </w:r>
            <w:proofErr w:type="gram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приміщень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що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віднесені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до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житлового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фонду,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який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призначений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для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проживання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громадян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Відповідно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до п. 15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Примірного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положення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про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користування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гуртожитками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затвердженого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постановою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КМУ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від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20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червня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2018 р. №498, плата за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проживання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гуртожитку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включа</w:t>
            </w:r>
            <w:proofErr w:type="gram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є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,</w:t>
            </w:r>
            <w:proofErr w:type="gram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зокрема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витрати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на оплату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житлово-комунальних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послуг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послуги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управління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гуртожитком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послуги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постачання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теплової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енергії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гарячої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води,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централізованого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водопостачання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централізованого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водовідведення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постачання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розподілу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природного газу,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електричної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енергії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послуги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поводження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побутовими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відходами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).</w:t>
            </w:r>
            <w:proofErr w:type="gram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Отже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електричну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енергію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що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закуповується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для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забезпечення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потреб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гуртожитків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слід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розцінювати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як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таку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що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має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бути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спожита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побутовими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споживачами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. Таким чином,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гуртожитки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Вінницуького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національного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технічного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університету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</w:t>
            </w:r>
            <w:proofErr w:type="gram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ідпадають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під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визначення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населення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яке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розраховується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ліцензіатом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за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загальним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розрахунковим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засобом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обліку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». За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такої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умови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закупівля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електричної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енергії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для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забезпечення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потреб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гуртожитків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має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бути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здійснена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постачальника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універсальних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послуг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Положення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про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покладення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спеціальних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обов’язків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на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учасників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ринку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електричної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енергії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для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забезпечення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загальносуспільних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інтересів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процесі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функціонування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ринку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електричної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енергії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»,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затверджено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постановою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Кабінету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Міні</w:t>
            </w:r>
            <w:proofErr w:type="gram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стр</w:t>
            </w:r>
            <w:proofErr w:type="gram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ів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України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від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05.06.2019 №483 (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із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змінами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).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Відповідно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до пункту 6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Положення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№483: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фіксована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ціна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на</w:t>
            </w:r>
            <w:proofErr w:type="gram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електричну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енергію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для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побутових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споживачів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встановлюється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Кабінетом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Міністрів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України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Відповідно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до постанови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Кабінету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Міні</w:t>
            </w:r>
            <w:proofErr w:type="gram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стр</w:t>
            </w:r>
            <w:proofErr w:type="gram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ів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України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від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11.08.2021 №859 «Про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внесення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змін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до постанови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Кабінету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Міністрів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України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від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05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червня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2019 р. №483 та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визнання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такими,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що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втратили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чинність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деяких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постанов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Кабінету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Міністрів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України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»,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фіксовані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ціни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на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електричну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енергію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для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побутових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споживачів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становлять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жовтня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2021 р. по 30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квітня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2022 р.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включно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1,68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грн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. за 1 кВт/год (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урахуванням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податку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на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додану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вартість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).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Орієнтовна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вільна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ціна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електричної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енергії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за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якою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її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може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поставити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незалежний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постачальник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(по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розрахунку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за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грудень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2021 року )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урахуванням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тарифу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послуг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розподілу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передачі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орієнтовно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становить 4,60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грн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./кВт/год</w:t>
            </w:r>
            <w:proofErr w:type="gram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.</w:t>
            </w:r>
            <w:proofErr w:type="gram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</w:t>
            </w:r>
            <w:proofErr w:type="spellEnd"/>
            <w:proofErr w:type="gram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ПДВ та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значно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перевищує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встановлені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державою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тарифи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Вінницуький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національний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технічний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університет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є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неприбутковою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бюджетною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установою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. Для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lastRenderedPageBreak/>
              <w:t>дотримання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принципу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максимальної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економії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метою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недопущення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перевитрат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коштів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державного бюджету та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забезпечення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найбільш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економічно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вигідних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умов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закупі</w:t>
            </w:r>
            <w:proofErr w:type="gram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вл</w:t>
            </w:r>
            <w:proofErr w:type="gram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ВНТУ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вважає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доцільним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скористатися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своїм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правом на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універсальну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послугу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проведення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переговорної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процедури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для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закупівлі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електричної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енергії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на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умовах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універсальної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послуги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Відповідно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до Постанови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Національної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комісії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що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здійснює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державне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регулювання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у сферах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енергетики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комунальних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послуг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від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26.10.2018 №1268 ТОВ «ЕНЕРА ВІННИЦЯ»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є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постачальником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універсальної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послуги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закріпленої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на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території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Вінницької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області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як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єдиного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постачальника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універсальних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послуг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гуртожитки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ВНТУ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знаходяться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за адресами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м</w:t>
            </w:r>
            <w:proofErr w:type="gram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.В</w:t>
            </w:r>
            <w:proofErr w:type="gram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інниця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вул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..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Воїнів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Інтернаціоналістів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/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Келецька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11/102;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вул</w:t>
            </w:r>
            <w:proofErr w:type="gram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.Х</w:t>
            </w:r>
            <w:proofErr w:type="gram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мельницьке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шосе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93-95;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вул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Воїнів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Інтернаціоналі</w:t>
            </w:r>
            <w:proofErr w:type="gram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ст</w:t>
            </w:r>
            <w:proofErr w:type="gram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ів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3;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вул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Воїнів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Інтернаціоналі</w:t>
            </w:r>
            <w:proofErr w:type="gram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ст</w:t>
            </w:r>
            <w:proofErr w:type="gram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ів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5;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вул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..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Келецька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98;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вул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Келецька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100;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вул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Келецька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102 а за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своїм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м</w:t>
            </w:r>
            <w:proofErr w:type="gram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ісцем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знаходження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не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мають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можливості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одержувати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електричну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енергію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як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універсальну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послугу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від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іншого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постачальника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крім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ТОВ «ЕНЕРА ВІННИЦЯ»,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що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є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постачальником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універсальних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послуг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споживачам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на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території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Вінницької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області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здійснювати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свою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діяльність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на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підставі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діючої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ліцензії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виданої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згідно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постановою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НКРЕКП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від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14.06.2018 №429. Через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відсутність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конкуренції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технічних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причин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Вінницький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національний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технічний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університет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має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можливість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здійснювати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закупівлю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електричної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енергії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(на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умовах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універсальної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послуги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) для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гуртожитків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враховуючи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їх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місцезнаходження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на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території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м.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Вінниця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лише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в одного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суб’єкта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господарювання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Постачальника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універсальних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послуг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саме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ТОВ</w:t>
            </w:r>
            <w:proofErr w:type="gram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«ЕНЕРА ВІННИЦЯ».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Відсутність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конкуренції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технічних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причин </w:t>
            </w:r>
            <w:proofErr w:type="spellStart"/>
            <w:proofErr w:type="gram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</w:t>
            </w:r>
            <w:proofErr w:type="gram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ідтверджується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діючими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нормативно-правовими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актами,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відповідно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до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яких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суб’єкта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господарювання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(ТОВ «ЕНЕРА ВІННИЦЯ»)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наділено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обов’язком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виконання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функцій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спеціального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суб`єкта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постачальник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універсальної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послуги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) на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певній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території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Вінницької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області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).</w:t>
            </w:r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sym w:font="Symbol" w:char="F02D"/>
            </w:r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Закон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України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«Про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ринок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електричної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енергії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»; </w:t>
            </w:r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sym w:font="Symbol" w:char="F02D"/>
            </w:r>
            <w:proofErr w:type="gram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останова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Національної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комісії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що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здійснює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державне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регулювання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у сферах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енергетики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комунальних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послуг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від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26.10.2018 №1268 «Про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Методичних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рекомендацій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щодо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передачі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даних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побутових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малих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непобутових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споживачів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постачальнику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електричної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енергії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на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якого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відповідно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до Закону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України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«Про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ринок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електричної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енергії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»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покладається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виконання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функції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універсальної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послуги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на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закріплен</w:t>
            </w:r>
            <w:proofErr w:type="gram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ій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території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».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1B03D5"/>
    <w:rsid w:val="001E3DBC"/>
    <w:rsid w:val="00264056"/>
    <w:rsid w:val="00323371"/>
    <w:rsid w:val="003A6C6A"/>
    <w:rsid w:val="00441BF3"/>
    <w:rsid w:val="004E05CA"/>
    <w:rsid w:val="004F58C6"/>
    <w:rsid w:val="0058335C"/>
    <w:rsid w:val="005C25A8"/>
    <w:rsid w:val="006E3154"/>
    <w:rsid w:val="00864F13"/>
    <w:rsid w:val="00A420EA"/>
    <w:rsid w:val="00A95A56"/>
    <w:rsid w:val="00B3503C"/>
    <w:rsid w:val="00C0480C"/>
    <w:rsid w:val="00C17A04"/>
    <w:rsid w:val="00C37C21"/>
    <w:rsid w:val="00D16AB8"/>
    <w:rsid w:val="00D81550"/>
    <w:rsid w:val="00F56797"/>
    <w:rsid w:val="00F61C12"/>
    <w:rsid w:val="00F73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</dc:creator>
  <cp:keywords/>
  <dc:description/>
  <cp:lastModifiedBy>Sklad</cp:lastModifiedBy>
  <cp:revision>17</cp:revision>
  <cp:lastPrinted>2021-09-14T08:39:00Z</cp:lastPrinted>
  <dcterms:created xsi:type="dcterms:W3CDTF">2021-09-14T07:27:00Z</dcterms:created>
  <dcterms:modified xsi:type="dcterms:W3CDTF">2022-01-13T13:51:00Z</dcterms:modified>
</cp:coreProperties>
</file>