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A341F" w:rsidRPr="007A341F">
              <w:rPr>
                <w:rFonts w:ascii="Times New Roman" w:hAnsi="Times New Roman" w:cs="Times New Roman"/>
                <w:b/>
                <w:lang w:val="uk-UA"/>
              </w:rPr>
              <w:t>UA-2024-11-29-009915-a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7A341F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4310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7A341F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7A341F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Pr="007A34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7A341F">
              <w:rPr>
                <w:rFonts w:ascii="Times New Roman" w:hAnsi="Times New Roman" w:cs="Times New Roman"/>
                <w:lang w:val="uk-UA"/>
              </w:rPr>
              <w:t>Ноутбуки,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341F">
              <w:rPr>
                <w:rFonts w:ascii="Times New Roman" w:hAnsi="Times New Roman" w:cs="Times New Roman"/>
                <w:lang w:val="uk-UA"/>
              </w:rPr>
              <w:t>Комп'ютери настільні,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Pr="007A341F">
              <w:rPr>
                <w:rFonts w:ascii="Times New Roman" w:hAnsi="Times New Roman" w:cs="Times New Roman"/>
                <w:lang w:val="uk-UA"/>
              </w:rPr>
              <w:t>Комп'ютери настільні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341F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2983"/>
    <w:rsid w:val="007B5ECF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D217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2024-12-02T13:47:00Z</dcterms:created>
  <dcterms:modified xsi:type="dcterms:W3CDTF">2024-12-02T13:49:00Z</dcterms:modified>
</cp:coreProperties>
</file>