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510"/>
        <w:gridCol w:w="6098"/>
      </w:tblGrid>
      <w:tr>
        <w:trPr>
          <w:trHeight w:val="908" w:hRule="atLeast"/>
        </w:trPr>
        <w:tc>
          <w:tcPr>
            <w:tcW w:w="9608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u w:val="single"/>
                <w:lang w:val="ru-RU" w:eastAsia="ru-RU" w:bidi="ar-SA"/>
              </w:rPr>
              <w:t>ВІДКРИТІ ТОРГИ З ОСОБЛИВОСТЯМИ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Закупівля: UA-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2"/>
                <w:szCs w:val="22"/>
                <w:lang w:val="uk-UA" w:eastAsia="ru-RU" w:bidi="ar-SA"/>
              </w:rPr>
              <w:t>2026-07-27-007524-a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Опубліковано: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en-US" w:eastAsia="ru-RU" w:bidi="ar-SA"/>
              </w:rPr>
              <w:t xml:space="preserve"> 27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 xml:space="preserve">.07.2026 </w:t>
            </w:r>
          </w:p>
        </w:tc>
      </w:tr>
      <w:tr>
        <w:trPr>
          <w:trHeight w:val="555" w:hRule="atLeast"/>
        </w:trPr>
        <w:tc>
          <w:tcPr>
            <w:tcW w:w="3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Назва предмета закупівлі:</w:t>
            </w:r>
          </w:p>
        </w:tc>
        <w:tc>
          <w:tcPr>
            <w:tcW w:w="6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uk-UA" w:eastAsia="ru-RU" w:bidi="ar-SA"/>
              </w:rPr>
              <w:t>Інструменти для паяння м’яким і твердим припоєм та для зварювання, машини та устаткування для поверхневої термообробки і гарячого напилювання (Апарат лазерного зварювання)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 xml:space="preserve">ДК 021:2015: </w:t>
            </w: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uk-UA" w:eastAsia="ru-RU" w:bidi="ar-SA"/>
              </w:rPr>
              <w:t>42660000-0 - Інструменти для паяння м’яким і твердим припоєм та для зварювання, машини та устаткування для поверхневої термообробки і гарячого напилювання</w:t>
            </w:r>
          </w:p>
        </w:tc>
      </w:tr>
      <w:tr>
        <w:trPr>
          <w:trHeight w:val="792" w:hRule="atLeast"/>
        </w:trPr>
        <w:tc>
          <w:tcPr>
            <w:tcW w:w="3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Обгрунтування технічних та якісних характеристик</w:t>
            </w:r>
          </w:p>
        </w:tc>
        <w:tc>
          <w:tcPr>
            <w:tcW w:w="6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Технічні та якісні характеристики предмета закупівлі визначені відповідно до потреб ВНТУ та з урахуванням вимог нормативних документів</w:t>
            </w:r>
          </w:p>
        </w:tc>
      </w:tr>
      <w:tr>
        <w:trPr>
          <w:trHeight w:val="1044" w:hRule="atLeast"/>
        </w:trPr>
        <w:tc>
          <w:tcPr>
            <w:tcW w:w="35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ru-RU" w:bidi="ar-SA"/>
              </w:rPr>
              <w:t>Обгрунтування очікуваної вартості предмету закупівлі, розміру бюджетного призначення</w:t>
            </w:r>
          </w:p>
        </w:tc>
        <w:tc>
          <w:tcPr>
            <w:tcW w:w="609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Очікувану вартість предмету закупівлі визначено з урахуванням «Примірної методики визначення очікуваної вартості предмету закупівлі» затвердженої Наказом Мінекономіки від 18.02.2020 № 275, шляхом використання методу «порівняння ринкових цін».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Розмір бюджетного призначення сформований з урахуванням наявної потреби в закупівлі даного виду товару, на 2026 рік.</w:t>
            </w:r>
          </w:p>
        </w:tc>
      </w:tr>
    </w:tbl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850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02400"/>
    <w:pPr>
      <w:widowControl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uiPriority w:val="59"/>
    <w:rsid w:val="00302400"/>
    <w:pPr>
      <w:spacing w:after="0" w:line="240" w:lineRule="auto"/>
    </w:pPr>
    <w:rPr>
      <w:lang w:val="ru-RU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1</Pages>
  <Words>143</Words>
  <Characters>1082</Characters>
  <CharactersWithSpaces>1214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2026-08-25T06:40:00Z</dcterms:created>
  <dc:creator>Наталя</dc:creator>
  <dc:description/>
  <dc:language>en-US</dc:language>
  <cp:lastModifiedBy/>
  <dcterms:modified xsi:type="dcterms:W3CDTF">2026-08-26T09:23:02Z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